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0"/>
          <w:szCs w:val="40"/>
        </w:rPr>
      </w:pPr>
      <w:r>
        <w:rPr>
          <w:rFonts w:hint="eastAsia" w:ascii="黑体" w:eastAsia="黑体"/>
          <w:b/>
          <w:sz w:val="40"/>
          <w:szCs w:val="40"/>
        </w:rPr>
        <w:t>课题文献资料学习记录</w:t>
      </w:r>
    </w:p>
    <w:tbl>
      <w:tblPr>
        <w:tblStyle w:val="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2022"/>
        <w:gridCol w:w="228"/>
        <w:gridCol w:w="792"/>
        <w:gridCol w:w="260"/>
        <w:gridCol w:w="388"/>
        <w:gridCol w:w="185"/>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070" w:type="dxa"/>
            <w:vAlign w:val="center"/>
          </w:tcPr>
          <w:p>
            <w:pPr>
              <w:jc w:val="center"/>
              <w:rPr>
                <w:sz w:val="28"/>
                <w:szCs w:val="28"/>
              </w:rPr>
            </w:pPr>
            <w:r>
              <w:rPr>
                <w:rFonts w:hint="eastAsia"/>
                <w:sz w:val="28"/>
                <w:szCs w:val="28"/>
              </w:rPr>
              <w:t>学习者</w:t>
            </w:r>
          </w:p>
        </w:tc>
        <w:tc>
          <w:tcPr>
            <w:tcW w:w="2250" w:type="dxa"/>
            <w:gridSpan w:val="2"/>
            <w:vAlign w:val="center"/>
          </w:tcPr>
          <w:p>
            <w:pPr>
              <w:jc w:val="center"/>
              <w:rPr>
                <w:rFonts w:hint="eastAsia" w:eastAsia="宋体"/>
                <w:sz w:val="28"/>
                <w:szCs w:val="28"/>
                <w:lang w:val="en-US" w:eastAsia="zh-CN"/>
              </w:rPr>
            </w:pPr>
            <w:r>
              <w:rPr>
                <w:rFonts w:hint="eastAsia"/>
                <w:sz w:val="28"/>
                <w:szCs w:val="28"/>
                <w:lang w:val="en-US" w:eastAsia="zh-CN"/>
              </w:rPr>
              <w:t>恽瑶</w:t>
            </w:r>
          </w:p>
        </w:tc>
        <w:tc>
          <w:tcPr>
            <w:tcW w:w="1440" w:type="dxa"/>
            <w:gridSpan w:val="3"/>
            <w:vAlign w:val="center"/>
          </w:tcPr>
          <w:p>
            <w:pPr>
              <w:jc w:val="center"/>
              <w:rPr>
                <w:sz w:val="28"/>
                <w:szCs w:val="28"/>
              </w:rPr>
            </w:pPr>
            <w:r>
              <w:rPr>
                <w:rFonts w:hint="eastAsia"/>
                <w:sz w:val="28"/>
                <w:szCs w:val="28"/>
              </w:rPr>
              <w:t>学习日期</w:t>
            </w:r>
          </w:p>
        </w:tc>
        <w:tc>
          <w:tcPr>
            <w:tcW w:w="3060" w:type="dxa"/>
            <w:gridSpan w:val="2"/>
            <w:vAlign w:val="center"/>
          </w:tcPr>
          <w:p>
            <w:pPr>
              <w:jc w:val="center"/>
              <w:rPr>
                <w:rFonts w:hint="default" w:eastAsia="宋体"/>
                <w:sz w:val="28"/>
                <w:szCs w:val="28"/>
                <w:lang w:val="en-US" w:eastAsia="zh-CN"/>
              </w:rPr>
            </w:pPr>
            <w:r>
              <w:rPr>
                <w:rFonts w:hint="eastAsia"/>
                <w:sz w:val="28"/>
                <w:szCs w:val="28"/>
                <w:lang w:val="en-US" w:eastAsia="zh-CN"/>
              </w:rPr>
              <w:t>2021.1.13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070" w:type="dxa"/>
            <w:vAlign w:val="center"/>
          </w:tcPr>
          <w:p>
            <w:pPr>
              <w:jc w:val="center"/>
              <w:rPr>
                <w:sz w:val="28"/>
                <w:szCs w:val="28"/>
              </w:rPr>
            </w:pPr>
            <w:r>
              <w:rPr>
                <w:rFonts w:hint="eastAsia"/>
                <w:sz w:val="28"/>
                <w:szCs w:val="28"/>
              </w:rPr>
              <w:t>书（文章）名</w:t>
            </w:r>
          </w:p>
        </w:tc>
        <w:tc>
          <w:tcPr>
            <w:tcW w:w="3042" w:type="dxa"/>
            <w:gridSpan w:val="3"/>
            <w:vAlign w:val="center"/>
          </w:tcPr>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关于培养小学生道德与法治意识的对策思考</w:t>
            </w:r>
          </w:p>
        </w:tc>
        <w:tc>
          <w:tcPr>
            <w:tcW w:w="833" w:type="dxa"/>
            <w:gridSpan w:val="3"/>
            <w:vAlign w:val="center"/>
          </w:tcPr>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出处</w:t>
            </w:r>
          </w:p>
        </w:tc>
        <w:tc>
          <w:tcPr>
            <w:tcW w:w="2875" w:type="dxa"/>
            <w:vAlign w:val="center"/>
          </w:tcPr>
          <w:p>
            <w:pPr>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《科学导报·学术》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70" w:type="dxa"/>
            <w:vAlign w:val="center"/>
          </w:tcPr>
          <w:p>
            <w:pPr>
              <w:jc w:val="center"/>
              <w:rPr>
                <w:sz w:val="28"/>
                <w:szCs w:val="28"/>
              </w:rPr>
            </w:pPr>
            <w:r>
              <w:rPr>
                <w:rFonts w:hint="eastAsia"/>
                <w:sz w:val="28"/>
                <w:szCs w:val="28"/>
              </w:rPr>
              <w:t>出版发表时间</w:t>
            </w:r>
          </w:p>
        </w:tc>
        <w:tc>
          <w:tcPr>
            <w:tcW w:w="2022" w:type="dxa"/>
            <w:vAlign w:val="center"/>
          </w:tcPr>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2018年第19期</w:t>
            </w:r>
          </w:p>
        </w:tc>
        <w:tc>
          <w:tcPr>
            <w:tcW w:w="1280" w:type="dxa"/>
            <w:gridSpan w:val="3"/>
            <w:vAlign w:val="center"/>
          </w:tcPr>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作者</w:t>
            </w:r>
          </w:p>
        </w:tc>
        <w:tc>
          <w:tcPr>
            <w:tcW w:w="3448" w:type="dxa"/>
            <w:gridSpan w:val="3"/>
            <w:vAlign w:val="center"/>
          </w:tcPr>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刘晓童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820" w:type="dxa"/>
            <w:gridSpan w:val="8"/>
            <w:vAlign w:val="center"/>
          </w:tcPr>
          <w:p>
            <w:pPr>
              <w:jc w:val="center"/>
              <w:rPr>
                <w:sz w:val="28"/>
                <w:szCs w:val="28"/>
              </w:rPr>
            </w:pPr>
            <w:r>
              <w:rPr>
                <w:rFonts w:hint="eastAsia"/>
                <w:sz w:val="28"/>
                <w:szCs w:val="28"/>
              </w:rPr>
              <w:t>主要理论观点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jc w:val="center"/>
        </w:trPr>
        <w:tc>
          <w:tcPr>
            <w:tcW w:w="8820" w:type="dxa"/>
            <w:gridSpan w:val="8"/>
            <w:vAlign w:val="center"/>
          </w:tcPr>
          <w:p>
            <w:pPr>
              <w:bidi w:val="0"/>
              <w:spacing w:after="280" w:afterAutospacing="1"/>
              <w:ind w:firstLine="240" w:firstLineChars="100"/>
              <w:jc w:val="left"/>
              <w:rPr>
                <w:sz w:val="24"/>
                <w:szCs w:val="24"/>
              </w:rPr>
            </w:pPr>
            <w:r>
              <w:rPr>
                <w:sz w:val="24"/>
                <w:szCs w:val="24"/>
              </w:rPr>
              <w:t>一、从教学内容的选择与组织上看</w:t>
            </w:r>
          </w:p>
          <w:p>
            <w:pPr>
              <w:bidi w:val="0"/>
              <w:spacing w:after="280" w:afterAutospacing="1"/>
              <w:jc w:val="left"/>
              <w:rPr>
                <w:rFonts w:hint="eastAsia"/>
                <w:sz w:val="24"/>
                <w:szCs w:val="24"/>
                <w:lang w:val="en-US" w:eastAsia="zh-CN"/>
              </w:rPr>
            </w:pPr>
            <w:r>
              <w:rPr>
                <w:sz w:val="24"/>
                <w:szCs w:val="24"/>
              </w:rPr>
              <w:t> （一）贴近生活，返璞归真。</w:t>
            </w:r>
            <w:r>
              <w:rPr>
                <w:rFonts w:hint="eastAsia"/>
                <w:sz w:val="24"/>
                <w:szCs w:val="24"/>
                <w:lang w:val="en-US" w:eastAsia="zh-CN"/>
              </w:rPr>
              <w:t xml:space="preserve">  </w:t>
            </w:r>
          </w:p>
          <w:p>
            <w:pPr>
              <w:bidi w:val="0"/>
              <w:spacing w:after="280" w:afterAutospacing="1"/>
              <w:jc w:val="left"/>
              <w:rPr>
                <w:sz w:val="24"/>
                <w:szCs w:val="24"/>
              </w:rPr>
            </w:pPr>
            <w:r>
              <w:rPr>
                <w:sz w:val="24"/>
                <w:szCs w:val="24"/>
              </w:rPr>
              <w:t>（二）明确教学目标，整合教学内容。</w:t>
            </w:r>
          </w:p>
          <w:p>
            <w:pPr>
              <w:bidi w:val="0"/>
              <w:spacing w:after="280" w:afterAutospacing="1"/>
              <w:ind w:firstLine="240" w:firstLineChars="100"/>
              <w:jc w:val="left"/>
              <w:rPr>
                <w:sz w:val="24"/>
                <w:szCs w:val="24"/>
              </w:rPr>
            </w:pPr>
            <w:r>
              <w:rPr>
                <w:sz w:val="24"/>
                <w:szCs w:val="24"/>
              </w:rPr>
              <w:t>二、从教学形式来看</w:t>
            </w:r>
          </w:p>
          <w:p>
            <w:pPr>
              <w:bidi w:val="0"/>
              <w:spacing w:after="280" w:afterAutospacing="1"/>
              <w:jc w:val="left"/>
              <w:rPr>
                <w:sz w:val="24"/>
                <w:szCs w:val="24"/>
              </w:rPr>
            </w:pPr>
            <w:r>
              <w:rPr>
                <w:sz w:val="24"/>
                <w:szCs w:val="24"/>
              </w:rPr>
              <w:t>（一）家校合力，共同促进。</w:t>
            </w:r>
          </w:p>
          <w:p>
            <w:pPr>
              <w:bidi w:val="0"/>
              <w:spacing w:after="280" w:afterAutospacing="1"/>
              <w:jc w:val="left"/>
              <w:rPr>
                <w:sz w:val="24"/>
                <w:szCs w:val="24"/>
              </w:rPr>
            </w:pPr>
            <w:r>
              <w:rPr>
                <w:sz w:val="24"/>
                <w:szCs w:val="24"/>
              </w:rPr>
              <w:t>（二）体验活动，主动参与</w:t>
            </w:r>
          </w:p>
          <w:p>
            <w:pPr>
              <w:bidi w:val="0"/>
              <w:spacing w:after="280" w:afterAutospacing="1"/>
              <w:jc w:val="left"/>
              <w:rPr>
                <w:sz w:val="21"/>
              </w:rPr>
            </w:pPr>
            <w:r>
              <w:rPr>
                <w:sz w:val="24"/>
                <w:szCs w:val="24"/>
              </w:rPr>
              <w:t>（三）线上学习，促进理解。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820" w:type="dxa"/>
            <w:gridSpan w:val="8"/>
            <w:vAlign w:val="center"/>
          </w:tcPr>
          <w:p>
            <w:pPr>
              <w:jc w:val="center"/>
              <w:rPr>
                <w:sz w:val="28"/>
                <w:szCs w:val="28"/>
              </w:rPr>
            </w:pPr>
            <w:r>
              <w:rPr>
                <w:rFonts w:hint="eastAsia"/>
                <w:sz w:val="28"/>
                <w:szCs w:val="28"/>
              </w:rPr>
              <w:t>学习心得体会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3" w:hRule="atLeast"/>
          <w:jc w:val="center"/>
        </w:trPr>
        <w:tc>
          <w:tcPr>
            <w:tcW w:w="8820" w:type="dxa"/>
            <w:gridSpan w:val="8"/>
            <w:vAlign w:val="center"/>
          </w:tcPr>
          <w:p>
            <w:pPr>
              <w:jc w:val="left"/>
              <w:rPr>
                <w:rFonts w:ascii="宋体" w:hAnsi="宋体" w:cs="仿宋_GB2312"/>
                <w:sz w:val="24"/>
              </w:rPr>
            </w:pPr>
          </w:p>
          <w:p>
            <w:pPr>
              <w:bidi w:val="0"/>
              <w:spacing w:after="280" w:afterAutospacing="1"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 习近平总书记曾说过：“法安天下，德润人心”。法律是维护社会和谐正义的保障，道德可以温暖充实人心。小学生道德与法治课是顺应时代的产物，更是法治社会下道德和法律的融合。《从社会层面上看，培养小学生道德法治意识有助于法治社会风气的形成，更有利于社会和谐。从个人层面上看，培养小学生道德与法治意识不仅有助于小学生从小知法、懂法、守法，更加有利于促进其健康成长，践行社会主义核心价值观。</w:t>
            </w:r>
          </w:p>
          <w:p>
            <w:pPr>
              <w:bidi w:val="0"/>
              <w:spacing w:after="280" w:afterAutospacing="1" w:line="360" w:lineRule="auto"/>
              <w:ind w:firstLine="480" w:firstLineChars="200"/>
              <w:jc w:val="left"/>
              <w:rPr>
                <w:sz w:val="28"/>
                <w:szCs w:val="28"/>
              </w:rPr>
            </w:pPr>
            <w:r>
              <w:rPr>
                <w:rFonts w:ascii="Times New Roman" w:hAnsi="Times New Roman" w:cs="Times New Roman"/>
                <w:sz w:val="24"/>
                <w:szCs w:val="24"/>
              </w:rPr>
              <w:t>当前我们的社会是法治社会，法治为我们提供了一个安全、和谐的生存环境。小学生是国家发展的蓬勃力量，培养小学生的道德与法治意识不仅对国家有重要意义，也能使小学生个人受益终生。作为教师，在道德与法治的课堂上对培养小学生的道德与法治意识应该肩负起重要责任。</w:t>
            </w:r>
          </w:p>
        </w:tc>
      </w:tr>
    </w:tbl>
    <w:p/>
    <w:sectPr>
      <w:headerReference r:id="rId3" w:type="default"/>
      <w:pgSz w:w="11906" w:h="16838"/>
      <w:pgMar w:top="141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rStyle w:val="7"/>
        <w:rFonts w:ascii="宋体" w:hAnsi="宋体"/>
        <w:b/>
        <w:bCs/>
        <w:kern w:val="0"/>
        <w:sz w:val="24"/>
        <w:szCs w:val="24"/>
        <w:u w:val="single"/>
        <w:lang w:val="zh-CN"/>
      </w:rPr>
      <w:t>法治教育视域下培育“法治意识”的实践途</w:t>
    </w:r>
    <w:r>
      <w:rPr>
        <w:rStyle w:val="7"/>
        <w:rFonts w:hint="eastAsia" w:ascii="宋体" w:hAnsi="宋体"/>
        <w:b/>
        <w:bCs/>
        <w:kern w:val="0"/>
        <w:sz w:val="24"/>
        <w:szCs w:val="24"/>
        <w:u w:val="single"/>
        <w:lang w:val="zh-CN"/>
      </w:rPr>
      <w:t>径</w:t>
    </w:r>
    <w:r>
      <w:rPr>
        <w:rStyle w:val="7"/>
        <w:rFonts w:ascii="宋体" w:hAnsi="宋体"/>
        <w:b/>
        <w:bCs/>
        <w:kern w:val="0"/>
        <w:sz w:val="24"/>
        <w:szCs w:val="24"/>
        <w:u w:val="single"/>
        <w:lang w:val="zh-CN"/>
      </w:rPr>
      <w:t>研究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D4E39"/>
    <w:rsid w:val="001D34BC"/>
    <w:rsid w:val="00364ED8"/>
    <w:rsid w:val="00F71028"/>
    <w:rsid w:val="194D4E39"/>
    <w:rsid w:val="65A035CA"/>
    <w:rsid w:val="762A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0"/>
    <w:rPr>
      <w:kern w:val="2"/>
      <w:sz w:val="18"/>
      <w:szCs w:val="18"/>
    </w:rPr>
  </w:style>
  <w:style w:type="character" w:customStyle="1" w:styleId="7">
    <w:name w:val="NormalCharacter"/>
    <w:semiHidden/>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Words>
  <Characters>81</Characters>
  <Lines>1</Lines>
  <Paragraphs>1</Paragraphs>
  <TotalTime>2</TotalTime>
  <ScaleCrop>false</ScaleCrop>
  <LinksUpToDate>false</LinksUpToDate>
  <CharactersWithSpaces>94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2021-10-28T06:44:00Z</dcterms:created>
  <dc:creator>常青树</dc:creator>
  <cp:lastModifiedBy>瑶瑶</cp:lastModifiedBy>
  <dcterms:modified xsi:type="dcterms:W3CDTF">2022-01-18T01:10:26Z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E1B64CE7FE76482C811C308BA5D26F65</vt:lpwstr>
  </property>
</Properties>
</file>